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5A" w:rsidRDefault="00123A5A" w:rsidP="0028646B">
      <w:pPr>
        <w:spacing w:line="240" w:lineRule="auto"/>
        <w:jc w:val="center"/>
        <w:rPr>
          <w:rFonts w:ascii="Segoe UI" w:eastAsia="Times New Roman" w:hAnsi="Segoe UI" w:cs="Segoe UI"/>
          <w:b/>
          <w:bCs/>
          <w:color w:val="0000FF"/>
          <w:sz w:val="28"/>
          <w:lang w:eastAsia="es-CO"/>
        </w:rPr>
      </w:pPr>
    </w:p>
    <w:p w:rsidR="00123A5A" w:rsidRDefault="00123A5A" w:rsidP="0028646B">
      <w:pPr>
        <w:spacing w:line="240" w:lineRule="auto"/>
        <w:jc w:val="center"/>
        <w:rPr>
          <w:rFonts w:ascii="Segoe UI" w:eastAsia="Times New Roman" w:hAnsi="Segoe UI" w:cs="Segoe UI"/>
          <w:b/>
          <w:bCs/>
          <w:color w:val="0000FF"/>
          <w:sz w:val="28"/>
          <w:lang w:eastAsia="es-CO"/>
        </w:rPr>
      </w:pPr>
    </w:p>
    <w:p w:rsidR="0028646B" w:rsidRPr="0028646B" w:rsidRDefault="0028646B" w:rsidP="0028646B">
      <w:pPr>
        <w:spacing w:line="240" w:lineRule="auto"/>
        <w:jc w:val="center"/>
        <w:rPr>
          <w:rFonts w:ascii="Arial" w:eastAsia="Times New Roman" w:hAnsi="Arial" w:cs="Arial"/>
          <w:sz w:val="18"/>
          <w:szCs w:val="18"/>
          <w:lang w:eastAsia="es-CO"/>
        </w:rPr>
      </w:pPr>
      <w:bookmarkStart w:id="0" w:name="_GoBack"/>
      <w:bookmarkEnd w:id="0"/>
      <w:r w:rsidRPr="0028646B">
        <w:rPr>
          <w:rFonts w:ascii="Segoe UI" w:eastAsia="Times New Roman" w:hAnsi="Segoe UI" w:cs="Segoe UI"/>
          <w:b/>
          <w:bCs/>
          <w:color w:val="0000FF"/>
          <w:sz w:val="28"/>
          <w:lang w:eastAsia="es-CO"/>
        </w:rPr>
        <w:t>DECRETO N° 2921</w:t>
      </w:r>
    </w:p>
    <w:p w:rsidR="0028646B" w:rsidRPr="0028646B" w:rsidRDefault="0028646B" w:rsidP="0028646B">
      <w:pPr>
        <w:spacing w:line="240" w:lineRule="auto"/>
        <w:jc w:val="center"/>
        <w:rPr>
          <w:rFonts w:ascii="Arial" w:eastAsia="Times New Roman" w:hAnsi="Arial" w:cs="Arial"/>
          <w:sz w:val="18"/>
          <w:szCs w:val="18"/>
          <w:lang w:eastAsia="es-CO"/>
        </w:rPr>
      </w:pPr>
      <w:r w:rsidRPr="0028646B">
        <w:rPr>
          <w:rFonts w:ascii="Segoe UI" w:eastAsia="Times New Roman" w:hAnsi="Segoe UI" w:cs="Segoe UI"/>
          <w:b/>
          <w:color w:val="0000FF"/>
          <w:sz w:val="28"/>
          <w:lang w:eastAsia="es-CO"/>
        </w:rPr>
        <w:t>17-12-2013</w:t>
      </w:r>
    </w:p>
    <w:p w:rsidR="0028646B" w:rsidRPr="0028646B" w:rsidRDefault="0028646B" w:rsidP="0028646B">
      <w:pPr>
        <w:spacing w:line="240" w:lineRule="auto"/>
        <w:jc w:val="center"/>
        <w:rPr>
          <w:rFonts w:ascii="Arial" w:eastAsia="Times New Roman" w:hAnsi="Arial" w:cs="Arial"/>
          <w:sz w:val="18"/>
          <w:szCs w:val="18"/>
          <w:lang w:eastAsia="es-CO"/>
        </w:rPr>
      </w:pPr>
      <w:r w:rsidRPr="0028646B">
        <w:rPr>
          <w:rFonts w:ascii="Segoe UI" w:eastAsia="Times New Roman" w:hAnsi="Segoe UI" w:cs="Segoe UI"/>
          <w:b/>
          <w:color w:val="0000FF"/>
          <w:sz w:val="28"/>
          <w:lang w:eastAsia="es-CO"/>
        </w:rPr>
        <w:t>M</w:t>
      </w:r>
      <w:r w:rsidRPr="0028646B">
        <w:rPr>
          <w:rFonts w:ascii="Segoe UI" w:eastAsia="Times New Roman" w:hAnsi="Segoe UI" w:cs="Segoe UI"/>
          <w:b/>
          <w:bCs/>
          <w:color w:val="0000FF"/>
          <w:sz w:val="28"/>
          <w:lang w:eastAsia="es-CO"/>
        </w:rPr>
        <w:t xml:space="preserve">INISTERIO DE HACIENDA Y </w:t>
      </w:r>
      <w:r w:rsidRPr="0028646B">
        <w:rPr>
          <w:rFonts w:ascii="Segoe UI" w:eastAsia="Times New Roman" w:hAnsi="Segoe UI" w:cs="Segoe UI"/>
          <w:b/>
          <w:color w:val="0000FF"/>
          <w:sz w:val="28"/>
          <w:lang w:eastAsia="es-CO"/>
        </w:rPr>
        <w:t>C</w:t>
      </w:r>
      <w:r w:rsidRPr="0028646B">
        <w:rPr>
          <w:rFonts w:ascii="Segoe UI" w:eastAsia="Times New Roman" w:hAnsi="Segoe UI" w:cs="Segoe UI"/>
          <w:b/>
          <w:bCs/>
          <w:color w:val="0000FF"/>
          <w:sz w:val="28"/>
          <w:lang w:eastAsia="es-CO"/>
        </w:rPr>
        <w:t>RÉDITO PÚBLICO</w:t>
      </w:r>
    </w:p>
    <w:p w:rsidR="0028646B" w:rsidRPr="0028646B" w:rsidRDefault="0028646B" w:rsidP="0028646B">
      <w:pPr>
        <w:spacing w:line="240" w:lineRule="auto"/>
        <w:jc w:val="center"/>
        <w:rPr>
          <w:rFonts w:ascii="Arial" w:eastAsia="Times New Roman" w:hAnsi="Arial" w:cs="Arial"/>
          <w:sz w:val="18"/>
          <w:szCs w:val="18"/>
          <w:lang w:eastAsia="es-CO"/>
        </w:rPr>
      </w:pPr>
      <w:r w:rsidRPr="0028646B">
        <w:rPr>
          <w:rFonts w:ascii="Segoe UI" w:eastAsia="Times New Roman" w:hAnsi="Segoe UI" w:cs="Segoe UI"/>
          <w:b/>
          <w:i/>
          <w:iCs/>
          <w:color w:val="0000FF"/>
          <w:sz w:val="22"/>
          <w:lang w:eastAsia="es-CO"/>
        </w:rPr>
        <w:t> </w:t>
      </w:r>
    </w:p>
    <w:p w:rsidR="0028646B" w:rsidRPr="0028646B" w:rsidRDefault="0028646B" w:rsidP="0028646B">
      <w:pPr>
        <w:spacing w:line="240" w:lineRule="auto"/>
        <w:jc w:val="center"/>
        <w:rPr>
          <w:rFonts w:ascii="Arial" w:eastAsia="Times New Roman" w:hAnsi="Arial" w:cs="Arial"/>
          <w:sz w:val="18"/>
          <w:szCs w:val="18"/>
          <w:lang w:eastAsia="es-CO"/>
        </w:rPr>
      </w:pPr>
      <w:r w:rsidRPr="0028646B">
        <w:rPr>
          <w:rFonts w:ascii="Segoe UI" w:eastAsia="Times New Roman" w:hAnsi="Segoe UI" w:cs="Segoe UI"/>
          <w:b/>
          <w:i/>
          <w:iCs/>
          <w:color w:val="0000FF"/>
          <w:sz w:val="22"/>
          <w:lang w:eastAsia="es-CO"/>
        </w:rPr>
        <w:t> </w:t>
      </w:r>
    </w:p>
    <w:p w:rsidR="0028646B" w:rsidRPr="0028646B" w:rsidRDefault="0028646B" w:rsidP="0028646B">
      <w:pPr>
        <w:spacing w:line="240" w:lineRule="auto"/>
        <w:jc w:val="center"/>
        <w:rPr>
          <w:rFonts w:ascii="Arial" w:eastAsia="Times New Roman" w:hAnsi="Arial" w:cs="Arial"/>
          <w:sz w:val="18"/>
          <w:szCs w:val="18"/>
          <w:lang w:eastAsia="es-CO"/>
        </w:rPr>
      </w:pPr>
      <w:proofErr w:type="gramStart"/>
      <w:r w:rsidRPr="0028646B">
        <w:rPr>
          <w:rFonts w:ascii="Segoe UI" w:eastAsia="Times New Roman" w:hAnsi="Segoe UI" w:cs="Segoe UI"/>
          <w:i/>
          <w:iCs/>
          <w:sz w:val="22"/>
          <w:lang w:eastAsia="es-CO"/>
        </w:rPr>
        <w:t>por</w:t>
      </w:r>
      <w:proofErr w:type="gramEnd"/>
      <w:r w:rsidRPr="0028646B">
        <w:rPr>
          <w:rFonts w:ascii="Segoe UI" w:eastAsia="Times New Roman" w:hAnsi="Segoe UI" w:cs="Segoe UI"/>
          <w:i/>
          <w:iCs/>
          <w:sz w:val="22"/>
          <w:lang w:eastAsia="es-CO"/>
        </w:rPr>
        <w:t xml:space="preserve"> el cual se reglamentan los artículos </w:t>
      </w:r>
      <w:hyperlink r:id="rId5" w:tooltip="Estatuto Tributario CETA" w:history="1">
        <w:r w:rsidRPr="0028646B">
          <w:rPr>
            <w:rFonts w:ascii="Segoe UI" w:eastAsia="Times New Roman" w:hAnsi="Segoe UI" w:cs="Segoe UI"/>
            <w:i/>
            <w:iCs/>
            <w:color w:val="0089E1"/>
            <w:sz w:val="22"/>
            <w:lang w:eastAsia="es-CO"/>
          </w:rPr>
          <w:t>70</w:t>
        </w:r>
      </w:hyperlink>
      <w:r w:rsidRPr="0028646B">
        <w:rPr>
          <w:rFonts w:ascii="Segoe UI" w:eastAsia="Times New Roman" w:hAnsi="Segoe UI" w:cs="Segoe UI"/>
          <w:i/>
          <w:iCs/>
          <w:sz w:val="22"/>
          <w:lang w:eastAsia="es-CO"/>
        </w:rPr>
        <w:t xml:space="preserve"> y </w:t>
      </w:r>
      <w:hyperlink r:id="rId6" w:tooltip="Estatuto Tributario CETA" w:history="1">
        <w:r w:rsidRPr="0028646B">
          <w:rPr>
            <w:rFonts w:ascii="Segoe UI" w:eastAsia="Times New Roman" w:hAnsi="Segoe UI" w:cs="Segoe UI"/>
            <w:i/>
            <w:iCs/>
            <w:color w:val="0089E1"/>
            <w:sz w:val="22"/>
            <w:lang w:eastAsia="es-CO"/>
          </w:rPr>
          <w:t>73</w:t>
        </w:r>
      </w:hyperlink>
      <w:r w:rsidRPr="0028646B">
        <w:rPr>
          <w:rFonts w:ascii="Segoe UI" w:eastAsia="Times New Roman" w:hAnsi="Segoe UI" w:cs="Segoe UI"/>
          <w:i/>
          <w:iCs/>
          <w:sz w:val="22"/>
          <w:lang w:eastAsia="es-CO"/>
        </w:rPr>
        <w:t xml:space="preserve"> del Estatuto Tributario.</w:t>
      </w:r>
    </w:p>
    <w:p w:rsidR="0028646B" w:rsidRPr="0028646B" w:rsidRDefault="0028646B" w:rsidP="0028646B">
      <w:pPr>
        <w:spacing w:line="240" w:lineRule="auto"/>
        <w:rPr>
          <w:rFonts w:ascii="Arial" w:eastAsia="Times New Roman" w:hAnsi="Arial" w:cs="Arial"/>
          <w:sz w:val="18"/>
          <w:szCs w:val="18"/>
          <w:lang w:eastAsia="es-CO"/>
        </w:rPr>
      </w:pPr>
      <w:r w:rsidRPr="0028646B">
        <w:rPr>
          <w:rFonts w:ascii="Segoe UI" w:eastAsia="Times New Roman" w:hAnsi="Segoe UI" w:cs="Segoe UI"/>
          <w:sz w:val="22"/>
          <w:lang w:eastAsia="es-CO"/>
        </w:rPr>
        <w:t> </w:t>
      </w:r>
    </w:p>
    <w:p w:rsidR="0028646B" w:rsidRPr="0028646B" w:rsidRDefault="0028646B" w:rsidP="0028646B">
      <w:pPr>
        <w:spacing w:line="240" w:lineRule="auto"/>
        <w:rPr>
          <w:rFonts w:ascii="Arial" w:eastAsia="Times New Roman" w:hAnsi="Arial" w:cs="Arial"/>
          <w:sz w:val="18"/>
          <w:szCs w:val="18"/>
          <w:lang w:eastAsia="es-CO"/>
        </w:rPr>
      </w:pPr>
      <w:r w:rsidRPr="0028646B">
        <w:rPr>
          <w:rFonts w:ascii="Segoe UI" w:eastAsia="Times New Roman" w:hAnsi="Segoe UI" w:cs="Segoe UI"/>
          <w:sz w:val="22"/>
          <w:lang w:eastAsia="es-CO"/>
        </w:rPr>
        <w:t xml:space="preserve">El Presidente de la República de Colombia, en uso de sus facultades constitucionales y legales, en especial de las consagradas en el numeral 11 del artículo 189 de la Constitución Política y en los artículos </w:t>
      </w:r>
      <w:hyperlink r:id="rId7" w:tooltip="Estatuto Tributario CETA" w:history="1">
        <w:r w:rsidRPr="0028646B">
          <w:rPr>
            <w:rFonts w:ascii="Segoe UI" w:eastAsia="Times New Roman" w:hAnsi="Segoe UI" w:cs="Segoe UI"/>
            <w:color w:val="0089E1"/>
            <w:sz w:val="22"/>
            <w:lang w:eastAsia="es-CO"/>
          </w:rPr>
          <w:t>70</w:t>
        </w:r>
      </w:hyperlink>
      <w:r w:rsidRPr="0028646B">
        <w:rPr>
          <w:rFonts w:ascii="Segoe UI" w:eastAsia="Times New Roman" w:hAnsi="Segoe UI" w:cs="Segoe UI"/>
          <w:sz w:val="22"/>
          <w:lang w:eastAsia="es-CO"/>
        </w:rPr>
        <w:t xml:space="preserve"> y </w:t>
      </w:r>
      <w:hyperlink r:id="rId8" w:tooltip="Estatuto Tributario CETA" w:history="1">
        <w:r w:rsidRPr="0028646B">
          <w:rPr>
            <w:rFonts w:ascii="Segoe UI" w:eastAsia="Times New Roman" w:hAnsi="Segoe UI" w:cs="Segoe UI"/>
            <w:color w:val="0089E1"/>
            <w:sz w:val="22"/>
            <w:lang w:eastAsia="es-CO"/>
          </w:rPr>
          <w:t>73</w:t>
        </w:r>
      </w:hyperlink>
      <w:r w:rsidRPr="0028646B">
        <w:rPr>
          <w:rFonts w:ascii="Segoe UI" w:eastAsia="Times New Roman" w:hAnsi="Segoe UI" w:cs="Segoe UI"/>
          <w:sz w:val="22"/>
          <w:lang w:eastAsia="es-CO"/>
        </w:rPr>
        <w:t xml:space="preserve"> del Estatuto Tributario, y</w:t>
      </w:r>
    </w:p>
    <w:p w:rsidR="0028646B" w:rsidRPr="0028646B" w:rsidRDefault="0028646B" w:rsidP="0028646B">
      <w:pPr>
        <w:spacing w:line="240" w:lineRule="auto"/>
        <w:jc w:val="center"/>
        <w:rPr>
          <w:rFonts w:ascii="Arial" w:eastAsia="Times New Roman" w:hAnsi="Arial" w:cs="Arial"/>
          <w:sz w:val="18"/>
          <w:szCs w:val="18"/>
          <w:lang w:eastAsia="es-CO"/>
        </w:rPr>
      </w:pPr>
      <w:r w:rsidRPr="0028646B">
        <w:rPr>
          <w:rFonts w:ascii="Segoe UI" w:eastAsia="Times New Roman" w:hAnsi="Segoe UI" w:cs="Segoe UI"/>
          <w:sz w:val="22"/>
          <w:lang w:eastAsia="es-CO"/>
        </w:rPr>
        <w:t> </w:t>
      </w:r>
    </w:p>
    <w:p w:rsidR="0028646B" w:rsidRPr="0028646B" w:rsidRDefault="0028646B" w:rsidP="0028646B">
      <w:pPr>
        <w:spacing w:line="240" w:lineRule="auto"/>
        <w:jc w:val="center"/>
        <w:rPr>
          <w:rFonts w:ascii="Arial" w:eastAsia="Times New Roman" w:hAnsi="Arial" w:cs="Arial"/>
          <w:sz w:val="18"/>
          <w:szCs w:val="18"/>
          <w:lang w:eastAsia="es-CO"/>
        </w:rPr>
      </w:pPr>
      <w:r w:rsidRPr="0028646B">
        <w:rPr>
          <w:rFonts w:ascii="Segoe UI" w:eastAsia="Times New Roman" w:hAnsi="Segoe UI" w:cs="Segoe UI"/>
          <w:sz w:val="22"/>
          <w:lang w:eastAsia="es-CO"/>
        </w:rPr>
        <w:t> </w:t>
      </w:r>
    </w:p>
    <w:p w:rsidR="0028646B" w:rsidRPr="0028646B" w:rsidRDefault="0028646B" w:rsidP="0028646B">
      <w:pPr>
        <w:spacing w:line="240" w:lineRule="auto"/>
        <w:jc w:val="center"/>
        <w:rPr>
          <w:rFonts w:ascii="Arial" w:eastAsia="Times New Roman" w:hAnsi="Arial" w:cs="Arial"/>
          <w:sz w:val="18"/>
          <w:szCs w:val="18"/>
          <w:lang w:eastAsia="es-CO"/>
        </w:rPr>
      </w:pPr>
      <w:r w:rsidRPr="0028646B">
        <w:rPr>
          <w:rFonts w:ascii="Segoe UI" w:eastAsia="Times New Roman" w:hAnsi="Segoe UI" w:cs="Segoe UI"/>
          <w:b/>
          <w:sz w:val="22"/>
          <w:lang w:eastAsia="es-CO"/>
        </w:rPr>
        <w:t>CONSIDERANDO:</w:t>
      </w:r>
    </w:p>
    <w:p w:rsidR="0028646B" w:rsidRPr="0028646B" w:rsidRDefault="0028646B" w:rsidP="0028646B">
      <w:pPr>
        <w:spacing w:line="240" w:lineRule="auto"/>
        <w:rPr>
          <w:rFonts w:ascii="Arial" w:eastAsia="Times New Roman" w:hAnsi="Arial" w:cs="Arial"/>
          <w:sz w:val="18"/>
          <w:szCs w:val="18"/>
          <w:lang w:eastAsia="es-CO"/>
        </w:rPr>
      </w:pPr>
      <w:r w:rsidRPr="0028646B">
        <w:rPr>
          <w:rFonts w:ascii="Segoe UI" w:eastAsia="Times New Roman" w:hAnsi="Segoe UI" w:cs="Segoe UI"/>
          <w:b/>
          <w:sz w:val="22"/>
          <w:lang w:eastAsia="es-CO"/>
        </w:rPr>
        <w:t> </w:t>
      </w:r>
    </w:p>
    <w:p w:rsidR="0028646B" w:rsidRPr="0028646B" w:rsidRDefault="0028646B" w:rsidP="0028646B">
      <w:pPr>
        <w:spacing w:line="240" w:lineRule="auto"/>
        <w:rPr>
          <w:rFonts w:ascii="Arial" w:eastAsia="Times New Roman" w:hAnsi="Arial" w:cs="Arial"/>
          <w:sz w:val="18"/>
          <w:szCs w:val="18"/>
          <w:lang w:eastAsia="es-CO"/>
        </w:rPr>
      </w:pPr>
      <w:r w:rsidRPr="0028646B">
        <w:rPr>
          <w:rFonts w:ascii="Segoe UI" w:eastAsia="Times New Roman" w:hAnsi="Segoe UI" w:cs="Segoe UI"/>
          <w:sz w:val="22"/>
          <w:lang w:eastAsia="es-CO"/>
        </w:rPr>
        <w:t xml:space="preserve">Que de acuerdo con lo dispuesto en el </w:t>
      </w:r>
      <w:hyperlink r:id="rId9" w:tooltip="Estatuto Tributario CETA" w:history="1">
        <w:r w:rsidRPr="0028646B">
          <w:rPr>
            <w:rFonts w:ascii="Segoe UI" w:eastAsia="Times New Roman" w:hAnsi="Segoe UI" w:cs="Segoe UI"/>
            <w:color w:val="0089E1"/>
            <w:sz w:val="22"/>
            <w:lang w:eastAsia="es-CO"/>
          </w:rPr>
          <w:t>artículo 70</w:t>
        </w:r>
      </w:hyperlink>
      <w:r w:rsidRPr="0028646B">
        <w:rPr>
          <w:rFonts w:ascii="Segoe UI" w:eastAsia="Times New Roman" w:hAnsi="Segoe UI" w:cs="Segoe UI"/>
          <w:sz w:val="22"/>
          <w:lang w:eastAsia="es-CO"/>
        </w:rPr>
        <w:t xml:space="preserve"> del Estatuto Tributario, los contribuyentes podrán ajustar anualmente el costo de los bienes muebles e inmuebles que tengan el carácter de activos fijos por el porcentaje señalado en el </w:t>
      </w:r>
      <w:hyperlink r:id="rId10" w:tooltip="Estatuto Tributario CETA" w:history="1">
        <w:r w:rsidRPr="0028646B">
          <w:rPr>
            <w:rFonts w:ascii="Segoe UI" w:eastAsia="Times New Roman" w:hAnsi="Segoe UI" w:cs="Segoe UI"/>
            <w:color w:val="0089E1"/>
            <w:sz w:val="22"/>
            <w:lang w:eastAsia="es-CO"/>
          </w:rPr>
          <w:t>artículo 868</w:t>
        </w:r>
      </w:hyperlink>
      <w:r w:rsidRPr="0028646B">
        <w:rPr>
          <w:rFonts w:ascii="Segoe UI" w:eastAsia="Times New Roman" w:hAnsi="Segoe UI" w:cs="Segoe UI"/>
          <w:sz w:val="22"/>
          <w:lang w:eastAsia="es-CO"/>
        </w:rPr>
        <w:t xml:space="preserve"> del mismo Estatuto.</w:t>
      </w:r>
    </w:p>
    <w:p w:rsidR="0028646B" w:rsidRPr="0028646B" w:rsidRDefault="0028646B" w:rsidP="0028646B">
      <w:pPr>
        <w:spacing w:line="240" w:lineRule="auto"/>
        <w:rPr>
          <w:rFonts w:ascii="Arial" w:eastAsia="Times New Roman" w:hAnsi="Arial" w:cs="Arial"/>
          <w:sz w:val="18"/>
          <w:szCs w:val="18"/>
          <w:lang w:eastAsia="es-CO"/>
        </w:rPr>
      </w:pPr>
      <w:r w:rsidRPr="0028646B">
        <w:rPr>
          <w:rFonts w:ascii="Segoe UI" w:eastAsia="Times New Roman" w:hAnsi="Segoe UI" w:cs="Segoe UI"/>
          <w:sz w:val="22"/>
          <w:lang w:eastAsia="es-CO"/>
        </w:rPr>
        <w:t> </w:t>
      </w:r>
    </w:p>
    <w:p w:rsidR="0028646B" w:rsidRPr="0028646B" w:rsidRDefault="0028646B" w:rsidP="0028646B">
      <w:pPr>
        <w:spacing w:line="240" w:lineRule="auto"/>
        <w:rPr>
          <w:rFonts w:ascii="Arial" w:eastAsia="Times New Roman" w:hAnsi="Arial" w:cs="Arial"/>
          <w:sz w:val="18"/>
          <w:szCs w:val="18"/>
          <w:lang w:eastAsia="es-CO"/>
        </w:rPr>
      </w:pPr>
      <w:r w:rsidRPr="0028646B">
        <w:rPr>
          <w:rFonts w:ascii="Segoe UI" w:eastAsia="Times New Roman" w:hAnsi="Segoe UI" w:cs="Segoe UI"/>
          <w:sz w:val="22"/>
          <w:lang w:eastAsia="es-CO"/>
        </w:rPr>
        <w:t xml:space="preserve">Que de acuerdo con el </w:t>
      </w:r>
      <w:hyperlink r:id="rId11" w:tooltip="Estatuto Tributario CETA" w:history="1">
        <w:r w:rsidRPr="0028646B">
          <w:rPr>
            <w:rFonts w:ascii="Segoe UI" w:eastAsia="Times New Roman" w:hAnsi="Segoe UI" w:cs="Segoe UI"/>
            <w:color w:val="0089E1"/>
            <w:sz w:val="22"/>
            <w:lang w:eastAsia="es-CO"/>
          </w:rPr>
          <w:t>artículo 73</w:t>
        </w:r>
      </w:hyperlink>
      <w:r w:rsidRPr="0028646B">
        <w:rPr>
          <w:rFonts w:ascii="Segoe UI" w:eastAsia="Times New Roman" w:hAnsi="Segoe UI" w:cs="Segoe UI"/>
          <w:sz w:val="22"/>
          <w:lang w:eastAsia="es-CO"/>
        </w:rPr>
        <w:t xml:space="preserve"> del Estatuto Tributario, para efectos de determinar la renta o ganancia ocasional, según el caso, proveniente de la enajenación de bienes raíces y de acciones o aportes, que tengan el carácter de activos fijos, los contribuyentes que sean personas naturales podrán ajustar el costo de adquisición de tales activos, en el incremento porcentual del valor de la propiedad raíz, o en el incremento porcentual del índice de precios al consumidor para empleados, respectivamente, que se haya registrado en el período comprendido entre el primero (1°) de enero del año en el cual se haya adquirido el bien y el 1° de enero del año en el cual se enajena.</w:t>
      </w:r>
    </w:p>
    <w:p w:rsidR="0028646B" w:rsidRPr="0028646B" w:rsidRDefault="0028646B" w:rsidP="0028646B">
      <w:pPr>
        <w:spacing w:line="240" w:lineRule="auto"/>
        <w:rPr>
          <w:rFonts w:ascii="Arial" w:eastAsia="Times New Roman" w:hAnsi="Arial" w:cs="Arial"/>
          <w:sz w:val="18"/>
          <w:szCs w:val="18"/>
          <w:lang w:eastAsia="es-CO"/>
        </w:rPr>
      </w:pPr>
      <w:r w:rsidRPr="0028646B">
        <w:rPr>
          <w:rFonts w:ascii="Segoe UI" w:eastAsia="Times New Roman" w:hAnsi="Segoe UI" w:cs="Segoe UI"/>
          <w:sz w:val="22"/>
          <w:lang w:eastAsia="es-CO"/>
        </w:rPr>
        <w:t> </w:t>
      </w:r>
    </w:p>
    <w:p w:rsidR="0028646B" w:rsidRPr="0028646B" w:rsidRDefault="0028646B" w:rsidP="0028646B">
      <w:pPr>
        <w:spacing w:line="240" w:lineRule="auto"/>
        <w:rPr>
          <w:rFonts w:ascii="Arial" w:eastAsia="Times New Roman" w:hAnsi="Arial" w:cs="Arial"/>
          <w:sz w:val="18"/>
          <w:szCs w:val="18"/>
          <w:lang w:eastAsia="es-CO"/>
        </w:rPr>
      </w:pPr>
      <w:r w:rsidRPr="0028646B">
        <w:rPr>
          <w:rFonts w:ascii="Segoe UI" w:eastAsia="Times New Roman" w:hAnsi="Segoe UI" w:cs="Segoe UI"/>
          <w:sz w:val="22"/>
          <w:lang w:eastAsia="es-CO"/>
        </w:rPr>
        <w:t>Que cumplida la formalidad prevista en el numeral 8° del artículo 8° del Código de Procedimiento Administrativo y de lo Contencioso Administrativo en relación con el texto del presente Decreto.</w:t>
      </w:r>
    </w:p>
    <w:p w:rsidR="0028646B" w:rsidRPr="0028646B" w:rsidRDefault="0028646B" w:rsidP="0028646B">
      <w:pPr>
        <w:spacing w:line="240" w:lineRule="auto"/>
        <w:jc w:val="center"/>
        <w:rPr>
          <w:rFonts w:ascii="Arial" w:eastAsia="Times New Roman" w:hAnsi="Arial" w:cs="Arial"/>
          <w:sz w:val="18"/>
          <w:szCs w:val="18"/>
          <w:lang w:eastAsia="es-CO"/>
        </w:rPr>
      </w:pPr>
      <w:r w:rsidRPr="0028646B">
        <w:rPr>
          <w:rFonts w:ascii="Segoe UI" w:eastAsia="Times New Roman" w:hAnsi="Segoe UI" w:cs="Segoe UI"/>
          <w:sz w:val="22"/>
          <w:lang w:eastAsia="es-CO"/>
        </w:rPr>
        <w:t> </w:t>
      </w:r>
    </w:p>
    <w:p w:rsidR="0028646B" w:rsidRPr="0028646B" w:rsidRDefault="0028646B" w:rsidP="0028646B">
      <w:pPr>
        <w:spacing w:line="240" w:lineRule="auto"/>
        <w:jc w:val="center"/>
        <w:rPr>
          <w:rFonts w:ascii="Arial" w:eastAsia="Times New Roman" w:hAnsi="Arial" w:cs="Arial"/>
          <w:sz w:val="18"/>
          <w:szCs w:val="18"/>
          <w:lang w:eastAsia="es-CO"/>
        </w:rPr>
      </w:pPr>
      <w:r w:rsidRPr="0028646B">
        <w:rPr>
          <w:rFonts w:ascii="Segoe UI" w:eastAsia="Times New Roman" w:hAnsi="Segoe UI" w:cs="Segoe UI"/>
          <w:sz w:val="22"/>
          <w:lang w:eastAsia="es-CO"/>
        </w:rPr>
        <w:t> </w:t>
      </w:r>
    </w:p>
    <w:p w:rsidR="0028646B" w:rsidRPr="0028646B" w:rsidRDefault="0028646B" w:rsidP="0028646B">
      <w:pPr>
        <w:spacing w:line="240" w:lineRule="auto"/>
        <w:jc w:val="center"/>
        <w:rPr>
          <w:rFonts w:ascii="Arial" w:eastAsia="Times New Roman" w:hAnsi="Arial" w:cs="Arial"/>
          <w:sz w:val="18"/>
          <w:szCs w:val="18"/>
          <w:lang w:eastAsia="es-CO"/>
        </w:rPr>
      </w:pPr>
      <w:r w:rsidRPr="0028646B">
        <w:rPr>
          <w:rFonts w:ascii="Segoe UI" w:eastAsia="Times New Roman" w:hAnsi="Segoe UI" w:cs="Segoe UI"/>
          <w:b/>
          <w:sz w:val="22"/>
          <w:lang w:eastAsia="es-CO"/>
        </w:rPr>
        <w:t>DECRETA:</w:t>
      </w:r>
    </w:p>
    <w:p w:rsidR="0028646B" w:rsidRPr="0028646B" w:rsidRDefault="0028646B" w:rsidP="0028646B">
      <w:pPr>
        <w:spacing w:line="240" w:lineRule="auto"/>
        <w:rPr>
          <w:rFonts w:ascii="Arial" w:eastAsia="Times New Roman" w:hAnsi="Arial" w:cs="Arial"/>
          <w:sz w:val="18"/>
          <w:szCs w:val="18"/>
          <w:lang w:eastAsia="es-CO"/>
        </w:rPr>
      </w:pPr>
      <w:r w:rsidRPr="0028646B">
        <w:rPr>
          <w:rFonts w:ascii="Segoe UI" w:eastAsia="Times New Roman" w:hAnsi="Segoe UI" w:cs="Segoe UI"/>
          <w:b/>
          <w:sz w:val="22"/>
          <w:lang w:eastAsia="es-CO"/>
        </w:rPr>
        <w:t> </w:t>
      </w:r>
    </w:p>
    <w:p w:rsidR="0028646B" w:rsidRPr="0028646B" w:rsidRDefault="0028646B" w:rsidP="0028646B">
      <w:pPr>
        <w:spacing w:line="240" w:lineRule="auto"/>
        <w:rPr>
          <w:rFonts w:ascii="Arial" w:eastAsia="Times New Roman" w:hAnsi="Arial" w:cs="Arial"/>
          <w:sz w:val="18"/>
          <w:szCs w:val="18"/>
          <w:lang w:eastAsia="es-CO"/>
        </w:rPr>
      </w:pPr>
      <w:r w:rsidRPr="0028646B">
        <w:rPr>
          <w:rFonts w:ascii="Segoe UI" w:eastAsia="Times New Roman" w:hAnsi="Segoe UI" w:cs="Segoe UI"/>
          <w:b/>
          <w:sz w:val="22"/>
          <w:lang w:eastAsia="es-CO"/>
        </w:rPr>
        <w:t xml:space="preserve">Artículo 1°. </w:t>
      </w:r>
      <w:r w:rsidRPr="0028646B">
        <w:rPr>
          <w:rFonts w:ascii="Segoe UI" w:eastAsia="Times New Roman" w:hAnsi="Segoe UI" w:cs="Segoe UI"/>
          <w:sz w:val="22"/>
          <w:lang w:eastAsia="es-CO"/>
        </w:rPr>
        <w:t>Para efectos de determinar la renta o ganancia ocasional, según el caso, proveniente de la enajenación durante el año gravable 2013 de bienes raíces y de acciones o aportes, que tengan el carácter de activos fijos, los contribuyentes que sean personas naturales, podrán tomar como costo fiscal, cualquiera de los siguientes valores:</w:t>
      </w:r>
    </w:p>
    <w:p w:rsidR="0028646B" w:rsidRPr="0028646B" w:rsidRDefault="0028646B" w:rsidP="0028646B">
      <w:pPr>
        <w:spacing w:line="240" w:lineRule="auto"/>
        <w:rPr>
          <w:rFonts w:ascii="Arial" w:eastAsia="Times New Roman" w:hAnsi="Arial" w:cs="Arial"/>
          <w:sz w:val="18"/>
          <w:szCs w:val="18"/>
          <w:lang w:eastAsia="es-CO"/>
        </w:rPr>
      </w:pPr>
      <w:r w:rsidRPr="0028646B">
        <w:rPr>
          <w:rFonts w:ascii="Segoe UI" w:eastAsia="Times New Roman" w:hAnsi="Segoe UI" w:cs="Segoe UI"/>
          <w:sz w:val="22"/>
          <w:lang w:eastAsia="es-CO"/>
        </w:rPr>
        <w:t> </w:t>
      </w:r>
    </w:p>
    <w:p w:rsidR="0028646B" w:rsidRPr="0028646B" w:rsidRDefault="0028646B" w:rsidP="0028646B">
      <w:pPr>
        <w:spacing w:line="240" w:lineRule="auto"/>
        <w:rPr>
          <w:rFonts w:ascii="Arial" w:eastAsia="Times New Roman" w:hAnsi="Arial" w:cs="Arial"/>
          <w:sz w:val="18"/>
          <w:szCs w:val="18"/>
          <w:lang w:eastAsia="es-CO"/>
        </w:rPr>
      </w:pPr>
      <w:r w:rsidRPr="0028646B">
        <w:rPr>
          <w:rFonts w:ascii="Segoe UI" w:eastAsia="Times New Roman" w:hAnsi="Segoe UI" w:cs="Segoe UI"/>
          <w:sz w:val="22"/>
          <w:lang w:eastAsia="es-CO"/>
        </w:rPr>
        <w:t>1. El valor que se obtenga de multiplicar el costo fiscal de los activos fijos enajenados, que figure en la declaración de renta por el año gravable de 1986 por veintinueve punto ochenta y tres (29.83), si se trata de acciones o aportes, y por doscientos quince punto sesenta (215.60), en el caso de bienes raíces.</w:t>
      </w:r>
    </w:p>
    <w:p w:rsidR="00AC308F" w:rsidRDefault="00AC308F" w:rsidP="0028646B">
      <w:pPr>
        <w:spacing w:line="240" w:lineRule="auto"/>
        <w:rPr>
          <w:rFonts w:ascii="Segoe UI" w:eastAsia="Times New Roman" w:hAnsi="Segoe UI" w:cs="Segoe UI"/>
          <w:szCs w:val="24"/>
          <w:lang w:eastAsia="es-CO"/>
        </w:rPr>
      </w:pPr>
    </w:p>
    <w:p w:rsidR="0028646B" w:rsidRPr="0028646B" w:rsidRDefault="0028646B" w:rsidP="0028646B">
      <w:pPr>
        <w:spacing w:line="240" w:lineRule="auto"/>
        <w:rPr>
          <w:rFonts w:eastAsia="Times New Roman"/>
          <w:szCs w:val="24"/>
          <w:lang w:eastAsia="es-CO"/>
        </w:rPr>
      </w:pPr>
      <w:r w:rsidRPr="0028646B">
        <w:rPr>
          <w:rFonts w:ascii="Segoe UI" w:eastAsia="Times New Roman" w:hAnsi="Segoe UI" w:cs="Segoe UI"/>
          <w:szCs w:val="24"/>
          <w:lang w:eastAsia="es-CO"/>
        </w:rPr>
        <w:t>2. El valor que se obtenga de multiplicar el costo de adquisición del bien enajenado por la cifra de ajuste que figure frente al año de adquisición del mismo, conforme a la siguiente tabla:</w:t>
      </w:r>
    </w:p>
    <w:p w:rsidR="0028646B" w:rsidRPr="0028646B" w:rsidRDefault="0028646B" w:rsidP="0028646B">
      <w:pPr>
        <w:spacing w:line="240" w:lineRule="auto"/>
        <w:jc w:val="center"/>
        <w:rPr>
          <w:rFonts w:eastAsia="Times New Roman"/>
          <w:szCs w:val="24"/>
          <w:lang w:eastAsia="es-CO"/>
        </w:rPr>
      </w:pPr>
      <w:r w:rsidRPr="0028646B">
        <w:rPr>
          <w:rFonts w:ascii="Segoe UI" w:eastAsia="Times New Roman" w:hAnsi="Segoe UI" w:cs="Segoe UI"/>
          <w:szCs w:val="24"/>
          <w:lang w:eastAsia="es-CO"/>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312"/>
        <w:gridCol w:w="1624"/>
      </w:tblGrid>
      <w:tr w:rsidR="0028646B" w:rsidRPr="0028646B">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b/>
                <w:bCs/>
                <w:sz w:val="20"/>
                <w:lang w:eastAsia="es-CO"/>
              </w:rPr>
              <w:t>AÑO DE ADQUISICIÓN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b/>
                <w:bCs/>
                <w:sz w:val="20"/>
                <w:lang w:eastAsia="es-CO"/>
              </w:rPr>
              <w:t>ACCIONES Y APORTES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b/>
                <w:bCs/>
                <w:sz w:val="20"/>
                <w:lang w:eastAsia="es-CO"/>
              </w:rPr>
              <w:t>BIENES RAICES</w:t>
            </w:r>
          </w:p>
        </w:tc>
      </w:tr>
      <w:tr w:rsidR="0028646B" w:rsidRPr="0028646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46B" w:rsidRPr="0028646B" w:rsidRDefault="0028646B" w:rsidP="0028646B">
            <w:pPr>
              <w:spacing w:line="240" w:lineRule="auto"/>
              <w:jc w:val="left"/>
              <w:rPr>
                <w:rFonts w:eastAsia="Times New Roman"/>
                <w:szCs w:val="24"/>
                <w:lang w:eastAsia="es-CO"/>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spacing w:line="240" w:lineRule="auto"/>
              <w:jc w:val="center"/>
              <w:rPr>
                <w:rFonts w:eastAsia="Times New Roman"/>
                <w:szCs w:val="24"/>
                <w:lang w:eastAsia="es-CO"/>
              </w:rPr>
            </w:pPr>
            <w:r w:rsidRPr="0028646B">
              <w:rPr>
                <w:rFonts w:ascii="Segoe UI" w:eastAsia="Times New Roman" w:hAnsi="Segoe UI" w:cs="Segoe UI"/>
                <w:b/>
                <w:bCs/>
                <w:sz w:val="20"/>
                <w:lang w:eastAsia="es-CO"/>
              </w:rPr>
              <w:t>MULTIPLCAR POR</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1955 y anteriores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2.517,57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17.560,94</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2.467,18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17.209,95</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2.284,43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15.935,33</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1.927,43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13.444,73</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1.762,11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12,291,71</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1.644,68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11.472,44</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1.541,85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10.697,14</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1.451,26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10.122,79</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1.355,49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9.455,30</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1.036,48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7.230,32</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948,88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6.618,88</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827,83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5.774,59</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729,87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5.091,58</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677,75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4.727,65</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635,83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4.435,30</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584,65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4.078,26</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545,87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3.807,47</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483,70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3.374,55</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425,30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2.967,50</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347,43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2.424,19</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277,88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1.937,80</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236,28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1.648,04</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188,39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1.313,43</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147,73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1.030,56</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123,40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860,67</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97,49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680,43</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78,34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545,90</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62,33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434,65</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50,08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349,27</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43,02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300,11</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36,42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260,44</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29,83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215,60</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24,65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182,83</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137,98</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15,74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86,02</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12,49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59,49</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9,47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41,46</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7,46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31,05</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5,99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22,07</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4,88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16,05</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11,43</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3,39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8,45</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7,01</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5,39</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4,49</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4,46</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4,31</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2002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3,99</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2003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3,58</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2004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3,37</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2005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3,16</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2,99</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2007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2,27</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2008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2,02</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2009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1,67</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1,52</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lastRenderedPageBreak/>
              <w:t>2011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1,39</w:t>
            </w:r>
          </w:p>
        </w:tc>
      </w:tr>
      <w:tr w:rsidR="0028646B" w:rsidRPr="0028646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646B" w:rsidRPr="0028646B" w:rsidRDefault="0028646B" w:rsidP="0028646B">
            <w:pPr>
              <w:adjustRightInd w:val="0"/>
              <w:spacing w:line="240" w:lineRule="auto"/>
              <w:jc w:val="center"/>
              <w:rPr>
                <w:rFonts w:eastAsia="Times New Roman"/>
                <w:szCs w:val="24"/>
                <w:lang w:eastAsia="es-CO"/>
              </w:rPr>
            </w:pPr>
            <w:r w:rsidRPr="0028646B">
              <w:rPr>
                <w:rFonts w:ascii="Segoe UI" w:eastAsia="Times New Roman" w:hAnsi="Segoe UI" w:cs="Segoe UI"/>
                <w:sz w:val="20"/>
                <w:lang w:eastAsia="es-CO"/>
              </w:rPr>
              <w:t>1,16</w:t>
            </w:r>
          </w:p>
        </w:tc>
      </w:tr>
    </w:tbl>
    <w:p w:rsidR="0028646B" w:rsidRPr="0028646B" w:rsidRDefault="0028646B" w:rsidP="0028646B">
      <w:pPr>
        <w:spacing w:line="240" w:lineRule="auto"/>
        <w:rPr>
          <w:rFonts w:eastAsia="Times New Roman"/>
          <w:szCs w:val="24"/>
          <w:lang w:eastAsia="es-CO"/>
        </w:rPr>
      </w:pPr>
      <w:r w:rsidRPr="0028646B">
        <w:rPr>
          <w:rFonts w:ascii="Segoe UI" w:eastAsia="Times New Roman" w:hAnsi="Segoe UI" w:cs="Segoe UI"/>
          <w:szCs w:val="24"/>
          <w:lang w:eastAsia="es-CO"/>
        </w:rPr>
        <w:t> </w:t>
      </w:r>
    </w:p>
    <w:p w:rsidR="0028646B" w:rsidRPr="0028646B" w:rsidRDefault="0028646B" w:rsidP="0028646B">
      <w:pPr>
        <w:spacing w:line="240" w:lineRule="auto"/>
        <w:rPr>
          <w:rFonts w:eastAsia="Times New Roman"/>
          <w:szCs w:val="24"/>
          <w:lang w:eastAsia="es-CO"/>
        </w:rPr>
      </w:pPr>
      <w:r w:rsidRPr="0028646B">
        <w:rPr>
          <w:rFonts w:ascii="Segoe UI" w:eastAsia="Times New Roman" w:hAnsi="Segoe UI" w:cs="Segoe UI"/>
          <w:szCs w:val="24"/>
          <w:lang w:eastAsia="es-CO"/>
        </w:rPr>
        <w:t> </w:t>
      </w:r>
    </w:p>
    <w:p w:rsidR="0028646B" w:rsidRPr="0028646B" w:rsidRDefault="0028646B" w:rsidP="0028646B">
      <w:pPr>
        <w:adjustRightInd w:val="0"/>
        <w:spacing w:line="240" w:lineRule="auto"/>
        <w:rPr>
          <w:rFonts w:eastAsia="Times New Roman"/>
          <w:szCs w:val="24"/>
          <w:lang w:eastAsia="es-CO"/>
        </w:rPr>
      </w:pPr>
      <w:r w:rsidRPr="0028646B">
        <w:rPr>
          <w:rFonts w:ascii="Segoe UI" w:eastAsia="Times New Roman" w:hAnsi="Segoe UI" w:cs="Segoe UI"/>
          <w:szCs w:val="24"/>
          <w:lang w:eastAsia="es-CO"/>
        </w:rPr>
        <w:t>En cualquiera de los casos señalados en los numerales 1 y 2, la cifra obtenida, puede ser adicionada en el valor de las mejoras y contribuciones por valorización que se hubieren pagado, cuando se trate de bienes raíces.</w:t>
      </w:r>
    </w:p>
    <w:p w:rsidR="0028646B" w:rsidRPr="0028646B" w:rsidRDefault="0028646B" w:rsidP="0028646B">
      <w:pPr>
        <w:adjustRightInd w:val="0"/>
        <w:spacing w:line="240" w:lineRule="auto"/>
        <w:rPr>
          <w:rFonts w:eastAsia="Times New Roman"/>
          <w:szCs w:val="24"/>
          <w:lang w:eastAsia="es-CO"/>
        </w:rPr>
      </w:pPr>
      <w:r w:rsidRPr="0028646B">
        <w:rPr>
          <w:rFonts w:ascii="Segoe UI" w:eastAsia="Times New Roman" w:hAnsi="Segoe UI" w:cs="Segoe UI"/>
          <w:szCs w:val="24"/>
          <w:lang w:eastAsia="es-CO"/>
        </w:rPr>
        <w:t> </w:t>
      </w:r>
    </w:p>
    <w:p w:rsidR="0028646B" w:rsidRPr="0028646B" w:rsidRDefault="0028646B" w:rsidP="0028646B">
      <w:pPr>
        <w:adjustRightInd w:val="0"/>
        <w:spacing w:line="240" w:lineRule="auto"/>
        <w:rPr>
          <w:rFonts w:eastAsia="Times New Roman"/>
          <w:szCs w:val="24"/>
          <w:lang w:eastAsia="es-CO"/>
        </w:rPr>
      </w:pPr>
      <w:r w:rsidRPr="0028646B">
        <w:rPr>
          <w:rFonts w:ascii="Segoe UI" w:eastAsia="Times New Roman" w:hAnsi="Segoe UI" w:cs="Segoe UI"/>
          <w:b/>
          <w:szCs w:val="24"/>
          <w:lang w:eastAsia="es-CO"/>
        </w:rPr>
        <w:t>Parágrafo.</w:t>
      </w:r>
      <w:r w:rsidRPr="0028646B">
        <w:rPr>
          <w:rFonts w:ascii="Segoe UI" w:eastAsia="Times New Roman" w:hAnsi="Segoe UI" w:cs="Segoe UI"/>
          <w:szCs w:val="24"/>
          <w:lang w:eastAsia="es-CO"/>
        </w:rPr>
        <w:t xml:space="preserve"> El costo fiscal de los bienes raíces, aportes o acciones en sociedades determinado de acuerdo con este artículo, podrá ser tomado como valor patrimonial en la declaración de renta y complementarios del año gravable 2013.</w:t>
      </w:r>
    </w:p>
    <w:p w:rsidR="0028646B" w:rsidRPr="0028646B" w:rsidRDefault="0028646B" w:rsidP="0028646B">
      <w:pPr>
        <w:adjustRightInd w:val="0"/>
        <w:spacing w:line="240" w:lineRule="auto"/>
        <w:rPr>
          <w:rFonts w:eastAsia="Times New Roman"/>
          <w:szCs w:val="24"/>
          <w:lang w:eastAsia="es-CO"/>
        </w:rPr>
      </w:pPr>
      <w:r w:rsidRPr="0028646B">
        <w:rPr>
          <w:rFonts w:ascii="Segoe UI" w:eastAsia="Times New Roman" w:hAnsi="Segoe UI" w:cs="Segoe UI"/>
          <w:szCs w:val="24"/>
          <w:lang w:eastAsia="es-CO"/>
        </w:rPr>
        <w:t> </w:t>
      </w:r>
    </w:p>
    <w:p w:rsidR="0028646B" w:rsidRPr="0028646B" w:rsidRDefault="0028646B" w:rsidP="0028646B">
      <w:pPr>
        <w:adjustRightInd w:val="0"/>
        <w:spacing w:line="240" w:lineRule="auto"/>
        <w:rPr>
          <w:rFonts w:eastAsia="Times New Roman"/>
          <w:szCs w:val="24"/>
          <w:lang w:eastAsia="es-CO"/>
        </w:rPr>
      </w:pPr>
      <w:r w:rsidRPr="0028646B">
        <w:rPr>
          <w:rFonts w:ascii="Segoe UI" w:eastAsia="Times New Roman" w:hAnsi="Segoe UI" w:cs="Segoe UI"/>
          <w:b/>
          <w:szCs w:val="24"/>
          <w:lang w:eastAsia="es-CO"/>
        </w:rPr>
        <w:t>Artículo 2°.</w:t>
      </w:r>
      <w:r w:rsidRPr="0028646B">
        <w:rPr>
          <w:rFonts w:ascii="Segoe UI" w:eastAsia="Times New Roman" w:hAnsi="Segoe UI" w:cs="Segoe UI"/>
          <w:szCs w:val="24"/>
          <w:lang w:eastAsia="es-CO"/>
        </w:rPr>
        <w:t xml:space="preserve"> </w:t>
      </w:r>
      <w:r w:rsidRPr="0028646B">
        <w:rPr>
          <w:rFonts w:ascii="Segoe UI" w:eastAsia="Times New Roman" w:hAnsi="Segoe UI" w:cs="Segoe UI"/>
          <w:i/>
          <w:iCs/>
          <w:szCs w:val="24"/>
          <w:lang w:eastAsia="es-CO"/>
        </w:rPr>
        <w:t>Ajuste del costo de los activos</w:t>
      </w:r>
      <w:r w:rsidRPr="0028646B">
        <w:rPr>
          <w:rFonts w:ascii="Segoe UI" w:eastAsia="Times New Roman" w:hAnsi="Segoe UI" w:cs="Segoe UI"/>
          <w:szCs w:val="24"/>
          <w:lang w:eastAsia="es-CO"/>
        </w:rPr>
        <w:t xml:space="preserve">. Los contribuyentes podrán ajustar el costo de los activos fijos por el año gravable 2013, en un dos punto cuarenta por ciento (2,40%), de acuerdo con lo previsto en el </w:t>
      </w:r>
      <w:hyperlink r:id="rId12" w:tooltip="Estatuto Tributario CETA" w:history="1">
        <w:r w:rsidRPr="0028646B">
          <w:rPr>
            <w:rFonts w:ascii="Segoe UI" w:eastAsia="Times New Roman" w:hAnsi="Segoe UI" w:cs="Segoe UI"/>
            <w:color w:val="0089E1"/>
            <w:szCs w:val="24"/>
            <w:lang w:eastAsia="es-CO"/>
          </w:rPr>
          <w:t>artículo 70</w:t>
        </w:r>
      </w:hyperlink>
      <w:r w:rsidRPr="0028646B">
        <w:rPr>
          <w:rFonts w:ascii="Segoe UI" w:eastAsia="Times New Roman" w:hAnsi="Segoe UI" w:cs="Segoe UI"/>
          <w:szCs w:val="24"/>
          <w:lang w:eastAsia="es-CO"/>
        </w:rPr>
        <w:t xml:space="preserve"> del Estatuto Tributario.</w:t>
      </w:r>
    </w:p>
    <w:p w:rsidR="0028646B" w:rsidRPr="0028646B" w:rsidRDefault="0028646B" w:rsidP="0028646B">
      <w:pPr>
        <w:adjustRightInd w:val="0"/>
        <w:spacing w:line="240" w:lineRule="auto"/>
        <w:rPr>
          <w:rFonts w:eastAsia="Times New Roman"/>
          <w:szCs w:val="24"/>
          <w:lang w:eastAsia="es-CO"/>
        </w:rPr>
      </w:pPr>
      <w:r w:rsidRPr="0028646B">
        <w:rPr>
          <w:rFonts w:ascii="Segoe UI" w:eastAsia="Times New Roman" w:hAnsi="Segoe UI" w:cs="Segoe UI"/>
          <w:szCs w:val="24"/>
          <w:lang w:eastAsia="es-CO"/>
        </w:rPr>
        <w:t> </w:t>
      </w:r>
    </w:p>
    <w:p w:rsidR="0028646B" w:rsidRPr="0028646B" w:rsidRDefault="0028646B" w:rsidP="0028646B">
      <w:pPr>
        <w:adjustRightInd w:val="0"/>
        <w:spacing w:line="240" w:lineRule="auto"/>
        <w:rPr>
          <w:rFonts w:eastAsia="Times New Roman"/>
          <w:szCs w:val="24"/>
          <w:lang w:eastAsia="es-CO"/>
        </w:rPr>
      </w:pPr>
      <w:r w:rsidRPr="0028646B">
        <w:rPr>
          <w:rFonts w:ascii="Segoe UI" w:eastAsia="Times New Roman" w:hAnsi="Segoe UI" w:cs="Segoe UI"/>
          <w:b/>
          <w:szCs w:val="24"/>
          <w:lang w:eastAsia="es-CO"/>
        </w:rPr>
        <w:t>Artículo 3°.</w:t>
      </w:r>
      <w:r w:rsidRPr="0028646B">
        <w:rPr>
          <w:rFonts w:ascii="Segoe UI" w:eastAsia="Times New Roman" w:hAnsi="Segoe UI" w:cs="Segoe UI"/>
          <w:szCs w:val="24"/>
          <w:lang w:eastAsia="es-CO"/>
        </w:rPr>
        <w:t xml:space="preserve"> El presente decreto rige a partir del 1° de enero del año 2014, previa su publicación.</w:t>
      </w:r>
    </w:p>
    <w:p w:rsidR="0028646B" w:rsidRPr="0028646B" w:rsidRDefault="0028646B" w:rsidP="0028646B">
      <w:pPr>
        <w:adjustRightInd w:val="0"/>
        <w:spacing w:line="240" w:lineRule="auto"/>
        <w:rPr>
          <w:rFonts w:eastAsia="Times New Roman"/>
          <w:szCs w:val="24"/>
          <w:lang w:eastAsia="es-CO"/>
        </w:rPr>
      </w:pPr>
      <w:r w:rsidRPr="0028646B">
        <w:rPr>
          <w:rFonts w:ascii="Segoe UI" w:eastAsia="Times New Roman" w:hAnsi="Segoe UI" w:cs="Segoe UI"/>
          <w:szCs w:val="24"/>
          <w:lang w:eastAsia="es-CO"/>
        </w:rPr>
        <w:t> </w:t>
      </w:r>
    </w:p>
    <w:p w:rsidR="0028646B" w:rsidRPr="0028646B" w:rsidRDefault="0028646B" w:rsidP="0028646B">
      <w:pPr>
        <w:adjustRightInd w:val="0"/>
        <w:spacing w:line="240" w:lineRule="auto"/>
        <w:rPr>
          <w:rFonts w:eastAsia="Times New Roman"/>
          <w:szCs w:val="24"/>
          <w:lang w:eastAsia="es-CO"/>
        </w:rPr>
      </w:pPr>
      <w:r w:rsidRPr="0028646B">
        <w:rPr>
          <w:rFonts w:ascii="Segoe UI" w:eastAsia="Times New Roman" w:hAnsi="Segoe UI" w:cs="Segoe UI"/>
          <w:b/>
          <w:szCs w:val="24"/>
          <w:lang w:eastAsia="es-CO"/>
        </w:rPr>
        <w:t>Publíquese y cúmplase.</w:t>
      </w:r>
    </w:p>
    <w:p w:rsidR="0028646B" w:rsidRPr="0028646B" w:rsidRDefault="0028646B" w:rsidP="0028646B">
      <w:pPr>
        <w:adjustRightInd w:val="0"/>
        <w:spacing w:line="240" w:lineRule="auto"/>
        <w:rPr>
          <w:rFonts w:eastAsia="Times New Roman"/>
          <w:szCs w:val="24"/>
          <w:lang w:eastAsia="es-CO"/>
        </w:rPr>
      </w:pPr>
      <w:r w:rsidRPr="0028646B">
        <w:rPr>
          <w:rFonts w:ascii="Segoe UI" w:eastAsia="Times New Roman" w:hAnsi="Segoe UI" w:cs="Segoe UI"/>
          <w:szCs w:val="24"/>
          <w:lang w:eastAsia="es-CO"/>
        </w:rPr>
        <w:t>Dado en Bogotá, D. C., a 17 de diciembre de 2013.</w:t>
      </w:r>
    </w:p>
    <w:p w:rsidR="0028646B" w:rsidRPr="0028646B" w:rsidRDefault="0028646B" w:rsidP="0028646B">
      <w:pPr>
        <w:adjustRightInd w:val="0"/>
        <w:spacing w:line="240" w:lineRule="auto"/>
        <w:jc w:val="right"/>
        <w:rPr>
          <w:rFonts w:eastAsia="Times New Roman"/>
          <w:szCs w:val="24"/>
          <w:lang w:eastAsia="es-CO"/>
        </w:rPr>
      </w:pPr>
      <w:r w:rsidRPr="0028646B">
        <w:rPr>
          <w:rFonts w:ascii="Segoe UI" w:eastAsia="Times New Roman" w:hAnsi="Segoe UI" w:cs="Segoe UI"/>
          <w:szCs w:val="24"/>
          <w:lang w:eastAsia="es-CO"/>
        </w:rPr>
        <w:t> </w:t>
      </w:r>
    </w:p>
    <w:p w:rsidR="0028646B" w:rsidRPr="0028646B" w:rsidRDefault="0028646B" w:rsidP="0028646B">
      <w:pPr>
        <w:adjustRightInd w:val="0"/>
        <w:spacing w:line="240" w:lineRule="auto"/>
        <w:jc w:val="right"/>
        <w:rPr>
          <w:rFonts w:eastAsia="Times New Roman"/>
          <w:szCs w:val="24"/>
          <w:lang w:eastAsia="es-CO"/>
        </w:rPr>
      </w:pPr>
      <w:r w:rsidRPr="0028646B">
        <w:rPr>
          <w:rFonts w:ascii="Segoe UI" w:eastAsia="Times New Roman" w:hAnsi="Segoe UI" w:cs="Segoe UI"/>
          <w:szCs w:val="24"/>
          <w:lang w:eastAsia="es-CO"/>
        </w:rPr>
        <w:t> </w:t>
      </w:r>
    </w:p>
    <w:p w:rsidR="0028646B" w:rsidRPr="0028646B" w:rsidRDefault="0028646B" w:rsidP="0028646B">
      <w:pPr>
        <w:adjustRightInd w:val="0"/>
        <w:spacing w:line="240" w:lineRule="auto"/>
        <w:jc w:val="right"/>
        <w:rPr>
          <w:rFonts w:eastAsia="Times New Roman"/>
          <w:szCs w:val="24"/>
          <w:lang w:eastAsia="es-CO"/>
        </w:rPr>
      </w:pPr>
      <w:r w:rsidRPr="0028646B">
        <w:rPr>
          <w:rFonts w:ascii="Segoe UI" w:eastAsia="Times New Roman" w:hAnsi="Segoe UI" w:cs="Segoe UI"/>
          <w:b/>
          <w:szCs w:val="24"/>
          <w:lang w:eastAsia="es-CO"/>
        </w:rPr>
        <w:t>JUAN MANUEL SANTOS CALDERÓN</w:t>
      </w:r>
    </w:p>
    <w:p w:rsidR="0028646B" w:rsidRPr="0028646B" w:rsidRDefault="0028646B" w:rsidP="0028646B">
      <w:pPr>
        <w:adjustRightInd w:val="0"/>
        <w:spacing w:line="240" w:lineRule="auto"/>
        <w:rPr>
          <w:rFonts w:eastAsia="Times New Roman"/>
          <w:szCs w:val="24"/>
          <w:lang w:eastAsia="es-CO"/>
        </w:rPr>
      </w:pPr>
      <w:r w:rsidRPr="0028646B">
        <w:rPr>
          <w:rFonts w:ascii="Segoe UI" w:eastAsia="Times New Roman" w:hAnsi="Segoe UI" w:cs="Segoe UI"/>
          <w:b/>
          <w:szCs w:val="24"/>
          <w:lang w:eastAsia="es-CO"/>
        </w:rPr>
        <w:t> </w:t>
      </w:r>
    </w:p>
    <w:p w:rsidR="0028646B" w:rsidRPr="0028646B" w:rsidRDefault="0028646B" w:rsidP="0028646B">
      <w:pPr>
        <w:adjustRightInd w:val="0"/>
        <w:spacing w:line="240" w:lineRule="auto"/>
        <w:rPr>
          <w:rFonts w:eastAsia="Times New Roman"/>
          <w:szCs w:val="24"/>
          <w:lang w:eastAsia="es-CO"/>
        </w:rPr>
      </w:pPr>
      <w:r w:rsidRPr="0028646B">
        <w:rPr>
          <w:rFonts w:ascii="Segoe UI" w:eastAsia="Times New Roman" w:hAnsi="Segoe UI" w:cs="Segoe UI"/>
          <w:b/>
          <w:szCs w:val="24"/>
          <w:lang w:eastAsia="es-CO"/>
        </w:rPr>
        <w:t> </w:t>
      </w:r>
    </w:p>
    <w:p w:rsidR="0028646B" w:rsidRPr="0028646B" w:rsidRDefault="0028646B" w:rsidP="0028646B">
      <w:pPr>
        <w:adjustRightInd w:val="0"/>
        <w:spacing w:line="240" w:lineRule="auto"/>
        <w:rPr>
          <w:rFonts w:eastAsia="Times New Roman"/>
          <w:szCs w:val="24"/>
          <w:lang w:eastAsia="es-CO"/>
        </w:rPr>
      </w:pPr>
      <w:r w:rsidRPr="0028646B">
        <w:rPr>
          <w:rFonts w:ascii="Segoe UI" w:eastAsia="Times New Roman" w:hAnsi="Segoe UI" w:cs="Segoe UI"/>
          <w:b/>
          <w:szCs w:val="24"/>
          <w:lang w:eastAsia="es-CO"/>
        </w:rPr>
        <w:t>El Ministro de Hacienda y Crédito Público,</w:t>
      </w:r>
    </w:p>
    <w:p w:rsidR="0028646B" w:rsidRPr="0028646B" w:rsidRDefault="0028646B" w:rsidP="0028646B">
      <w:pPr>
        <w:spacing w:line="240" w:lineRule="auto"/>
        <w:jc w:val="right"/>
        <w:rPr>
          <w:rFonts w:eastAsia="Times New Roman"/>
          <w:szCs w:val="24"/>
          <w:lang w:eastAsia="es-CO"/>
        </w:rPr>
      </w:pPr>
      <w:r w:rsidRPr="0028646B">
        <w:rPr>
          <w:rFonts w:ascii="Segoe UI" w:eastAsia="Times New Roman" w:hAnsi="Segoe UI" w:cs="Segoe UI"/>
          <w:b/>
          <w:i/>
          <w:iCs/>
          <w:szCs w:val="24"/>
          <w:lang w:eastAsia="es-CO"/>
        </w:rPr>
        <w:t> </w:t>
      </w:r>
    </w:p>
    <w:p w:rsidR="0028646B" w:rsidRPr="0028646B" w:rsidRDefault="0028646B" w:rsidP="0028646B">
      <w:pPr>
        <w:spacing w:line="240" w:lineRule="auto"/>
        <w:jc w:val="right"/>
        <w:rPr>
          <w:rFonts w:eastAsia="Times New Roman"/>
          <w:szCs w:val="24"/>
          <w:lang w:eastAsia="es-CO"/>
        </w:rPr>
      </w:pPr>
      <w:r w:rsidRPr="0028646B">
        <w:rPr>
          <w:rFonts w:ascii="Segoe UI" w:eastAsia="Times New Roman" w:hAnsi="Segoe UI" w:cs="Segoe UI"/>
          <w:i/>
          <w:iCs/>
          <w:szCs w:val="24"/>
          <w:lang w:eastAsia="es-CO"/>
        </w:rPr>
        <w:t>Mauricio Cárdenas Santamaría.</w:t>
      </w:r>
    </w:p>
    <w:p w:rsidR="0028646B" w:rsidRPr="0028646B" w:rsidRDefault="0028646B" w:rsidP="0028646B">
      <w:pPr>
        <w:spacing w:line="240" w:lineRule="auto"/>
        <w:rPr>
          <w:rFonts w:eastAsia="Times New Roman"/>
          <w:szCs w:val="24"/>
          <w:lang w:eastAsia="es-CO"/>
        </w:rPr>
      </w:pPr>
      <w:r w:rsidRPr="0028646B">
        <w:rPr>
          <w:rFonts w:ascii="Segoe UI" w:eastAsia="Times New Roman" w:hAnsi="Segoe UI" w:cs="Segoe UI"/>
          <w:i/>
          <w:iCs/>
          <w:szCs w:val="24"/>
          <w:lang w:eastAsia="es-CO"/>
        </w:rPr>
        <w:t> </w:t>
      </w:r>
    </w:p>
    <w:p w:rsidR="0028646B" w:rsidRPr="0028646B" w:rsidRDefault="0028646B" w:rsidP="0028646B">
      <w:pPr>
        <w:spacing w:line="240" w:lineRule="auto"/>
        <w:rPr>
          <w:rFonts w:eastAsia="Times New Roman"/>
          <w:szCs w:val="24"/>
          <w:lang w:eastAsia="es-CO"/>
        </w:rPr>
      </w:pPr>
      <w:r w:rsidRPr="0028646B">
        <w:rPr>
          <w:rFonts w:ascii="Segoe UI" w:eastAsia="Times New Roman" w:hAnsi="Segoe UI" w:cs="Segoe UI"/>
          <w:i/>
          <w:iCs/>
          <w:szCs w:val="24"/>
          <w:lang w:eastAsia="es-CO"/>
        </w:rPr>
        <w:t> </w:t>
      </w:r>
    </w:p>
    <w:p w:rsidR="0028646B" w:rsidRPr="0028646B" w:rsidRDefault="0028646B" w:rsidP="0028646B">
      <w:pPr>
        <w:spacing w:line="240" w:lineRule="auto"/>
        <w:rPr>
          <w:rFonts w:eastAsia="Times New Roman"/>
          <w:szCs w:val="24"/>
          <w:lang w:eastAsia="es-CO"/>
        </w:rPr>
      </w:pPr>
      <w:r w:rsidRPr="0028646B">
        <w:rPr>
          <w:rFonts w:ascii="Segoe UI" w:eastAsia="Times New Roman" w:hAnsi="Segoe UI" w:cs="Segoe UI"/>
          <w:b/>
          <w:iCs/>
          <w:sz w:val="20"/>
          <w:lang w:eastAsia="es-CO"/>
        </w:rPr>
        <w:t>Publicado en D.O. 49.007 del 17 de diciembre de 2013.</w:t>
      </w:r>
    </w:p>
    <w:p w:rsidR="0028646B" w:rsidRPr="0028646B" w:rsidRDefault="0028646B" w:rsidP="0028646B">
      <w:pPr>
        <w:spacing w:after="285" w:line="240" w:lineRule="auto"/>
        <w:rPr>
          <w:rFonts w:ascii="Arial" w:eastAsia="Times New Roman" w:hAnsi="Arial" w:cs="Arial"/>
          <w:sz w:val="18"/>
          <w:szCs w:val="18"/>
          <w:lang w:eastAsia="es-CO"/>
        </w:rPr>
      </w:pPr>
      <w:r w:rsidRPr="0028646B">
        <w:rPr>
          <w:rFonts w:ascii="Arial" w:eastAsia="Times New Roman" w:hAnsi="Arial" w:cs="Arial"/>
          <w:sz w:val="18"/>
          <w:szCs w:val="18"/>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6B"/>
    <w:rsid w:val="00123A5A"/>
    <w:rsid w:val="0028646B"/>
    <w:rsid w:val="00A067C7"/>
    <w:rsid w:val="00AC308F"/>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111" TargetMode="External"/><Relationship Id="rId12" Type="http://schemas.openxmlformats.org/officeDocument/2006/relationships/hyperlink" Target="http://www.ceta.org.co/html/vista_de_un_articulo.asp?Norma=1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114" TargetMode="External"/><Relationship Id="rId11" Type="http://schemas.openxmlformats.org/officeDocument/2006/relationships/hyperlink" Target="http://www.ceta.org.co/html/vista_de_un_articulo.asp?Norma=114" TargetMode="External"/><Relationship Id="rId5" Type="http://schemas.openxmlformats.org/officeDocument/2006/relationships/hyperlink" Target="http://www.ceta.org.co/html/vista_de_un_articulo.asp?Norma=111" TargetMode="External"/><Relationship Id="rId10" Type="http://schemas.openxmlformats.org/officeDocument/2006/relationships/hyperlink" Target="http://www.ceta.org.co/html/vista_de_un_articulo.asp?Norma=1079"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11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859</Words>
  <Characters>4729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2013-12-24T02:14:00Z</dcterms:created>
  <dcterms:modified xsi:type="dcterms:W3CDTF">2014-02-10T00:56:00Z</dcterms:modified>
</cp:coreProperties>
</file>